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22" w:rsidRPr="00AC5C33" w:rsidRDefault="00EA5A22" w:rsidP="00A77396">
      <w:pPr>
        <w:spacing w:after="120" w:line="240" w:lineRule="auto"/>
        <w:jc w:val="center"/>
        <w:rPr>
          <w:b/>
          <w:lang w:val="pt-BR"/>
        </w:rPr>
      </w:pPr>
      <w:r w:rsidRPr="00AC5C33">
        <w:rPr>
          <w:b/>
          <w:lang w:val="pt-BR"/>
        </w:rPr>
        <w:t>Phụ lục XXI</w:t>
      </w:r>
    </w:p>
    <w:p w:rsidR="00EA5A22" w:rsidRPr="00AC5C33" w:rsidRDefault="00EA5A22" w:rsidP="00A77396">
      <w:pPr>
        <w:tabs>
          <w:tab w:val="left" w:pos="2513"/>
        </w:tabs>
        <w:spacing w:after="120" w:line="240" w:lineRule="auto"/>
        <w:jc w:val="center"/>
        <w:rPr>
          <w:b/>
          <w:lang w:val="pt-BR"/>
        </w:rPr>
      </w:pPr>
      <w:r w:rsidRPr="00AC5C33">
        <w:rPr>
          <w:b/>
          <w:lang w:val="pt-BR"/>
        </w:rPr>
        <w:t xml:space="preserve">MẪU KẾ HOẠCH HOẶC BIỆN PHÁP PHÒNG NGỪA, </w:t>
      </w:r>
    </w:p>
    <w:p w:rsidR="00EA5A22" w:rsidRPr="00AC5C33" w:rsidRDefault="00EA5A22" w:rsidP="00A77396">
      <w:pPr>
        <w:tabs>
          <w:tab w:val="left" w:pos="2513"/>
        </w:tabs>
        <w:spacing w:after="120" w:line="240" w:lineRule="auto"/>
        <w:jc w:val="center"/>
        <w:rPr>
          <w:b/>
          <w:lang w:val="pt-BR"/>
        </w:rPr>
      </w:pPr>
      <w:r w:rsidRPr="00AC5C33">
        <w:rPr>
          <w:b/>
          <w:lang w:val="pt-BR"/>
        </w:rPr>
        <w:t>ỨNG PHÓ SỰ CỐ HÓA CHẤT</w:t>
      </w:r>
    </w:p>
    <w:p w:rsidR="00EA5A22" w:rsidRPr="00AC5C33" w:rsidRDefault="00EA5A22" w:rsidP="00A77396">
      <w:pPr>
        <w:spacing w:after="120" w:line="240" w:lineRule="auto"/>
        <w:jc w:val="center"/>
        <w:rPr>
          <w:i/>
          <w:lang w:val="pt-BR"/>
        </w:rPr>
      </w:pPr>
      <w:r w:rsidRPr="00AC5C33">
        <w:rPr>
          <w:i/>
          <w:lang w:val="pt-BR"/>
        </w:rPr>
        <w:t xml:space="preserve">(Ban hành kèm theo Thông tư số </w:t>
      </w:r>
      <w:r w:rsidRPr="00AC5C33">
        <w:rPr>
          <w:b/>
          <w:szCs w:val="26"/>
          <w:lang w:val="pt-BR"/>
        </w:rPr>
        <w:t>21</w:t>
      </w:r>
      <w:r w:rsidRPr="00AC5C33">
        <w:rPr>
          <w:b/>
          <w:i/>
          <w:szCs w:val="26"/>
          <w:lang w:val="pt-BR"/>
        </w:rPr>
        <w:t xml:space="preserve"> </w:t>
      </w:r>
      <w:r w:rsidRPr="00AC5C33">
        <w:rPr>
          <w:i/>
          <w:szCs w:val="26"/>
          <w:lang w:val="pt-BR"/>
        </w:rPr>
        <w:t xml:space="preserve">/2015 /TT-BNNPTNT ngày </w:t>
      </w:r>
      <w:r w:rsidRPr="00AC5C33">
        <w:rPr>
          <w:b/>
          <w:szCs w:val="26"/>
          <w:lang w:val="pt-BR"/>
        </w:rPr>
        <w:t>08</w:t>
      </w:r>
      <w:r w:rsidRPr="00AC5C33">
        <w:rPr>
          <w:i/>
          <w:szCs w:val="26"/>
          <w:lang w:val="pt-BR"/>
        </w:rPr>
        <w:t xml:space="preserve"> tháng </w:t>
      </w:r>
      <w:r w:rsidRPr="00AC5C33">
        <w:rPr>
          <w:b/>
          <w:szCs w:val="26"/>
          <w:lang w:val="pt-BR"/>
        </w:rPr>
        <w:t>6</w:t>
      </w:r>
      <w:r w:rsidRPr="00AC5C33">
        <w:rPr>
          <w:i/>
          <w:szCs w:val="26"/>
          <w:lang w:val="pt-BR"/>
        </w:rPr>
        <w:t xml:space="preserve"> năm 2015</w:t>
      </w:r>
      <w:r w:rsidR="00A77396">
        <w:rPr>
          <w:i/>
          <w:szCs w:val="26"/>
          <w:lang w:val="pt-BR"/>
        </w:rPr>
        <w:t xml:space="preserve"> </w:t>
      </w:r>
      <w:r w:rsidRPr="00AC5C33">
        <w:rPr>
          <w:i/>
          <w:lang w:val="pt-BR"/>
        </w:rPr>
        <w:t>của Bộ trưởng Bộ Nông nghiệp và Phát triển nông thôn)</w:t>
      </w:r>
    </w:p>
    <w:p w:rsidR="00EA5A22" w:rsidRPr="00AC5C33" w:rsidRDefault="00EA5A22" w:rsidP="00EA5A22">
      <w:pPr>
        <w:rPr>
          <w:lang w:val="da-DK"/>
        </w:rPr>
      </w:pPr>
    </w:p>
    <w:tbl>
      <w:tblPr>
        <w:tblW w:w="9281" w:type="dxa"/>
        <w:jc w:val="center"/>
        <w:tblInd w:w="232" w:type="dxa"/>
        <w:tblLook w:val="04A0"/>
      </w:tblPr>
      <w:tblGrid>
        <w:gridCol w:w="3656"/>
        <w:gridCol w:w="5625"/>
      </w:tblGrid>
      <w:tr w:rsidR="00EA5A22" w:rsidRPr="00AC5C33" w:rsidTr="00A751ED">
        <w:trPr>
          <w:trHeight w:val="1213"/>
          <w:jc w:val="center"/>
        </w:trPr>
        <w:tc>
          <w:tcPr>
            <w:tcW w:w="3656" w:type="dxa"/>
          </w:tcPr>
          <w:p w:rsidR="00EA5A22" w:rsidRPr="00AC5C33" w:rsidRDefault="00EA5A22" w:rsidP="00A751ED">
            <w:pPr>
              <w:spacing w:line="360" w:lineRule="exact"/>
              <w:ind w:left="-120" w:right="-62"/>
              <w:jc w:val="center"/>
              <w:rPr>
                <w:rFonts w:eastAsia="Arial"/>
                <w:bCs/>
                <w:lang w:val="vi-VN"/>
              </w:rPr>
            </w:pPr>
            <w:r w:rsidRPr="00AC5C33">
              <w:rPr>
                <w:rFonts w:eastAsia="Arial"/>
                <w:bCs/>
                <w:lang w:val="vi-VN"/>
              </w:rPr>
              <w:t>TÊN ĐƠN VỊ CHỦ QUẢN</w:t>
            </w:r>
          </w:p>
          <w:p w:rsidR="00EA5A22" w:rsidRPr="00AC5C33" w:rsidRDefault="00EA5A22" w:rsidP="00A751ED">
            <w:pPr>
              <w:spacing w:line="360" w:lineRule="exact"/>
              <w:ind w:left="-120" w:right="-62"/>
              <w:jc w:val="center"/>
              <w:rPr>
                <w:rFonts w:eastAsia="Arial"/>
                <w:b/>
                <w:bCs/>
                <w:lang w:val="vi-VN"/>
              </w:rPr>
            </w:pPr>
            <w:r w:rsidRPr="00AC5C33">
              <w:rPr>
                <w:rFonts w:eastAsia="Arial"/>
                <w:b/>
                <w:bCs/>
                <w:lang w:val="vi-VN"/>
              </w:rPr>
              <w:t xml:space="preserve">TÊN ĐƠN VỊ </w:t>
            </w:r>
          </w:p>
          <w:p w:rsidR="00EA5A22" w:rsidRPr="00AC5C33" w:rsidRDefault="00F8119B" w:rsidP="00A751ED">
            <w:pPr>
              <w:spacing w:line="360" w:lineRule="exact"/>
              <w:ind w:left="-120" w:right="-62"/>
              <w:jc w:val="center"/>
              <w:rPr>
                <w:rFonts w:eastAsia="Arial"/>
                <w:b/>
                <w:bCs/>
                <w:lang w:val="vi-VN"/>
              </w:rPr>
            </w:pPr>
            <w:r w:rsidRPr="00F8119B">
              <w:rPr>
                <w:rFonts w:eastAsia="Arial"/>
                <w:noProof/>
                <w:lang w:val="vi-VN"/>
              </w:rPr>
              <w:pict>
                <v:line id="Straight Connector 22" o:spid="_x0000_s1028" style="position:absolute;left:0;text-align:left;z-index:251662336;visibility:visible" from="52.7pt,.95pt" to="116.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ZHg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"/>
              </w:pict>
            </w:r>
          </w:p>
        </w:tc>
        <w:tc>
          <w:tcPr>
            <w:tcW w:w="5625" w:type="dxa"/>
          </w:tcPr>
          <w:p w:rsidR="00EA5A22" w:rsidRPr="00AC5C33" w:rsidRDefault="00EA5A22" w:rsidP="00A751ED">
            <w:pPr>
              <w:spacing w:line="360" w:lineRule="exact"/>
              <w:ind w:left="120" w:right="-62" w:firstLine="720"/>
              <w:rPr>
                <w:rFonts w:eastAsia="Arial"/>
                <w:b/>
                <w:bCs/>
                <w:lang w:val="vi-VN"/>
              </w:rPr>
            </w:pPr>
          </w:p>
        </w:tc>
      </w:tr>
    </w:tbl>
    <w:p w:rsidR="00EA5A22" w:rsidRPr="00AC5C33" w:rsidRDefault="00EA5A22" w:rsidP="00EA5A22">
      <w:pPr>
        <w:spacing w:line="360" w:lineRule="exact"/>
        <w:jc w:val="center"/>
        <w:rPr>
          <w:rFonts w:eastAsia="Arial"/>
          <w:b/>
          <w:lang w:val="vi-VN"/>
        </w:rPr>
      </w:pPr>
      <w:r w:rsidRPr="00AC5C33">
        <w:rPr>
          <w:rFonts w:eastAsia="Arial"/>
          <w:b/>
          <w:lang w:val="vi-VN"/>
        </w:rPr>
        <w:t xml:space="preserve">KẾ HOẠCH PHÒNG NGỪA, ỨNG PHÓ SỤ CỐ HÓA CHẤT </w:t>
      </w:r>
    </w:p>
    <w:p w:rsidR="00EA5A22" w:rsidRPr="00AC5C33" w:rsidRDefault="00EA5A22" w:rsidP="00EA5A22">
      <w:pPr>
        <w:spacing w:line="360" w:lineRule="exact"/>
        <w:jc w:val="center"/>
        <w:rPr>
          <w:rFonts w:eastAsia="Arial"/>
          <w:b/>
          <w:lang w:val="vi-VN"/>
        </w:rPr>
      </w:pPr>
      <w:r w:rsidRPr="00AC5C33">
        <w:rPr>
          <w:rFonts w:eastAsia="Arial"/>
          <w:b/>
          <w:lang w:val="vi-VN"/>
        </w:rPr>
        <w:t>CỦA …………………</w:t>
      </w:r>
    </w:p>
    <w:p w:rsidR="00EA5A22" w:rsidRPr="00AC5C33" w:rsidRDefault="00EA5A22" w:rsidP="00EA5A22">
      <w:pPr>
        <w:spacing w:line="360" w:lineRule="exact"/>
        <w:jc w:val="center"/>
        <w:rPr>
          <w:rFonts w:eastAsia="Arial"/>
          <w:b/>
          <w:lang w:val="vi-VN"/>
        </w:rPr>
      </w:pPr>
    </w:p>
    <w:p w:rsidR="00EA5A22" w:rsidRPr="00AC5C33" w:rsidRDefault="00EA5A22" w:rsidP="00EA5A22">
      <w:pPr>
        <w:spacing w:line="360" w:lineRule="exact"/>
        <w:jc w:val="center"/>
        <w:rPr>
          <w:rFonts w:eastAsia="Arial"/>
          <w:b/>
          <w:lang w:val="vi-VN"/>
        </w:rPr>
      </w:pPr>
      <w:r w:rsidRPr="00AC5C33">
        <w:rPr>
          <w:rFonts w:eastAsia="Arial"/>
          <w:b/>
          <w:lang w:val="vi-VN"/>
        </w:rPr>
        <w:t>I. Mở đầu</w:t>
      </w:r>
    </w:p>
    <w:p w:rsidR="00EA5A22" w:rsidRPr="00AC5C33" w:rsidRDefault="00EA5A22" w:rsidP="00EA5A22">
      <w:pPr>
        <w:spacing w:line="360" w:lineRule="exact"/>
        <w:ind w:firstLine="567"/>
        <w:rPr>
          <w:rFonts w:eastAsia="Arial"/>
          <w:lang w:val="vi-VN"/>
        </w:rPr>
      </w:pPr>
      <w:r w:rsidRPr="00AC5C33">
        <w:rPr>
          <w:rFonts w:eastAsia="Arial"/>
          <w:lang w:val="vi-VN"/>
        </w:rPr>
        <w:t xml:space="preserve">1. Giới thiệu về dự án hoặc cơ sở hóa chất. </w:t>
      </w:r>
    </w:p>
    <w:p w:rsidR="00EA5A22" w:rsidRPr="00AC5C33" w:rsidRDefault="00EA5A22" w:rsidP="00EA5A22">
      <w:pPr>
        <w:spacing w:line="360" w:lineRule="exact"/>
        <w:ind w:firstLine="567"/>
        <w:rPr>
          <w:rFonts w:eastAsia="Arial"/>
          <w:lang w:val="vi-VN"/>
        </w:rPr>
      </w:pPr>
      <w:r w:rsidRPr="00AC5C33">
        <w:rPr>
          <w:rFonts w:eastAsia="Arial"/>
          <w:lang w:val="vi-VN"/>
        </w:rPr>
        <w:t xml:space="preserve">2. Tính cần thiết phải lập Kế hoạch. </w:t>
      </w:r>
    </w:p>
    <w:p w:rsidR="00EA5A22" w:rsidRPr="00AC5C33" w:rsidRDefault="00EA5A22" w:rsidP="00EA5A22">
      <w:pPr>
        <w:spacing w:line="360" w:lineRule="exact"/>
        <w:ind w:left="567"/>
        <w:contextualSpacing/>
        <w:rPr>
          <w:rFonts w:eastAsia="Arial"/>
          <w:lang w:val="vi-VN"/>
        </w:rPr>
      </w:pPr>
      <w:r w:rsidRPr="00AC5C33">
        <w:rPr>
          <w:rFonts w:eastAsia="Arial"/>
          <w:lang w:val="vi-VN"/>
        </w:rPr>
        <w:t xml:space="preserve">3. Các căn cứ pháp lý lập Kế hoạch. </w:t>
      </w:r>
    </w:p>
    <w:p w:rsidR="00EA5A22" w:rsidRPr="00AC5C33" w:rsidRDefault="00EA5A22" w:rsidP="00EA5A22">
      <w:pPr>
        <w:spacing w:line="360" w:lineRule="exact"/>
        <w:ind w:firstLine="567"/>
        <w:jc w:val="center"/>
        <w:rPr>
          <w:rFonts w:eastAsia="Arial"/>
          <w:b/>
          <w:lang w:val="vi-VN"/>
        </w:rPr>
      </w:pPr>
      <w:r w:rsidRPr="00AC5C33">
        <w:rPr>
          <w:rFonts w:eastAsia="Arial"/>
          <w:b/>
          <w:lang w:val="vi-VN"/>
        </w:rPr>
        <w:t>II. Phần thứ nhất</w:t>
      </w:r>
    </w:p>
    <w:p w:rsidR="00EA5A22" w:rsidRPr="00AC5C33" w:rsidRDefault="00EA5A22" w:rsidP="00EA5A22">
      <w:pPr>
        <w:spacing w:line="360" w:lineRule="exact"/>
        <w:jc w:val="center"/>
        <w:rPr>
          <w:rFonts w:eastAsia="Arial"/>
          <w:b/>
          <w:lang w:val="vi-VN"/>
        </w:rPr>
      </w:pPr>
      <w:r w:rsidRPr="00AC5C33">
        <w:rPr>
          <w:rFonts w:eastAsia="Arial"/>
          <w:b/>
          <w:lang w:val="vi-VN"/>
        </w:rPr>
        <w:t>THÔNG TIN LIÊN QUAN ĐẾN HOẠT ĐỘNG DỰ ÁN, CƠ SỞ HÓA CHẤT</w:t>
      </w:r>
    </w:p>
    <w:p w:rsidR="00EA5A22" w:rsidRPr="00AC5C33" w:rsidRDefault="00EA5A22" w:rsidP="00EA5A22">
      <w:pPr>
        <w:widowControl w:val="0"/>
        <w:spacing w:before="120" w:after="120" w:line="320" w:lineRule="exact"/>
        <w:ind w:firstLine="567"/>
        <w:jc w:val="both"/>
        <w:rPr>
          <w:rFonts w:eastAsia="Arial"/>
          <w:lang w:val="vi-VN"/>
        </w:rPr>
      </w:pPr>
      <w:r w:rsidRPr="00AC5C33">
        <w:rPr>
          <w:rFonts w:eastAsia="Arial"/>
          <w:lang w:val="vi-VN"/>
        </w:rPr>
        <w:t xml:space="preserve">1. Thông tin về quy mô đầu tư, sản xuất kinh doanh: Công suất, diện tích xây dựng, địa điểm xây dựng công trình. </w:t>
      </w:r>
    </w:p>
    <w:p w:rsidR="00EA5A22" w:rsidRPr="00AC5C33" w:rsidRDefault="00EA5A22" w:rsidP="00EA5A22">
      <w:pPr>
        <w:spacing w:before="120" w:after="120" w:line="320" w:lineRule="exact"/>
        <w:ind w:firstLine="567"/>
        <w:contextualSpacing/>
        <w:jc w:val="both"/>
        <w:rPr>
          <w:rFonts w:eastAsia="Arial"/>
          <w:lang w:val="vi-VN"/>
        </w:rPr>
      </w:pPr>
      <w:r w:rsidRPr="00AC5C33">
        <w:rPr>
          <w:rFonts w:eastAsia="Arial"/>
          <w:lang w:val="vi-VN"/>
        </w:rPr>
        <w:t xml:space="preserve">2. Các hạng mục công trình bao gồm công trình chính, công trình phụ và các công trình khác, danh mục thiết bị sản xuất chính. </w:t>
      </w:r>
    </w:p>
    <w:p w:rsidR="00EA5A22" w:rsidRPr="00AC5C33" w:rsidRDefault="00EA5A22" w:rsidP="00EA5A22">
      <w:pPr>
        <w:spacing w:before="120" w:after="120" w:line="320" w:lineRule="exact"/>
        <w:ind w:firstLine="567"/>
        <w:contextualSpacing/>
        <w:jc w:val="both"/>
        <w:rPr>
          <w:rFonts w:eastAsia="Arial"/>
          <w:lang w:val="vi-VN"/>
        </w:rPr>
      </w:pPr>
      <w:r w:rsidRPr="00AC5C33">
        <w:rPr>
          <w:rFonts w:eastAsia="Arial"/>
          <w:lang w:val="vi-VN"/>
        </w:rPr>
        <w:t xml:space="preserve">3. Công nghệ sản xuất. </w:t>
      </w:r>
    </w:p>
    <w:p w:rsidR="00EA5A22" w:rsidRPr="00AC5C33" w:rsidRDefault="00EA5A22" w:rsidP="00EA5A22">
      <w:pPr>
        <w:spacing w:before="120" w:after="120" w:line="320" w:lineRule="exact"/>
        <w:ind w:firstLine="567"/>
        <w:contextualSpacing/>
        <w:jc w:val="both"/>
        <w:rPr>
          <w:rFonts w:eastAsia="Arial"/>
          <w:lang w:val="vi-VN"/>
        </w:rPr>
      </w:pPr>
      <w:r w:rsidRPr="00AC5C33">
        <w:rPr>
          <w:rFonts w:eastAsia="Arial"/>
          <w:lang w:val="vi-VN"/>
        </w:rPr>
        <w:t xml:space="preserve">4. Bản kê khai tên hoá chất, khối lượng, đặc tính lý hoá học, độc tính của mỗi loại hoá chất nguy hiểm là nguyên liệu, hoá chất trung gian và hoá chất thành phẩm. Trường hợp các loại hoá chất trong dự án, cơ sở hóa chất đã có phiếu an toàn hoá chất hoặc đã được chứng nhận hoàn thành khai báo theo quy định, tổ chức, cá nhân có dự án, cơ sở hoá chất có thể sử dụng phiếu an toàn hoá chất hoặc chứng nhận hoàn thành khai báo thay cho bản kê khai đặc tính hoá chất. </w:t>
      </w:r>
    </w:p>
    <w:p w:rsidR="00EA5A22" w:rsidRPr="00AC5C33" w:rsidRDefault="00EA5A22" w:rsidP="00EA5A22">
      <w:pPr>
        <w:spacing w:before="120" w:after="120" w:line="320" w:lineRule="exact"/>
        <w:ind w:firstLine="567"/>
        <w:contextualSpacing/>
        <w:jc w:val="both"/>
        <w:rPr>
          <w:rFonts w:eastAsia="Arial"/>
          <w:lang w:val="vi-VN"/>
        </w:rPr>
      </w:pPr>
      <w:r w:rsidRPr="00AC5C33">
        <w:rPr>
          <w:rFonts w:eastAsia="Arial"/>
          <w:lang w:val="vi-VN"/>
        </w:rPr>
        <w:t xml:space="preserve">5. Bản mô tả các yêu cầu kỹ thuật về bao gói, bảo quản và vận chuyển của mỗi loại hoá chất nguy hiểm, bao gồm: </w:t>
      </w:r>
    </w:p>
    <w:p w:rsidR="00EA5A22" w:rsidRPr="00AC5C33" w:rsidRDefault="00EA5A22" w:rsidP="00EA5A22">
      <w:pPr>
        <w:numPr>
          <w:ilvl w:val="0"/>
          <w:numId w:val="3"/>
        </w:numPr>
        <w:spacing w:before="120" w:after="120" w:line="320" w:lineRule="exact"/>
        <w:ind w:left="0" w:firstLine="567"/>
        <w:contextualSpacing/>
        <w:jc w:val="both"/>
        <w:rPr>
          <w:rFonts w:eastAsia="Arial"/>
          <w:lang w:val="vi-VN"/>
        </w:rPr>
      </w:pPr>
      <w:r w:rsidRPr="00AC5C33">
        <w:rPr>
          <w:rFonts w:eastAsia="Arial"/>
          <w:lang w:val="vi-VN"/>
        </w:rPr>
        <w:t xml:space="preserve">Các loại bao bì, bồn, thùng chứa hoá chất nguy hiểm dự kiến sử dụng trong sản xuất, bảo quản, vận chuyển, vật liệu chế tạo và lượng chứa lớn nhất của từng loại; </w:t>
      </w:r>
    </w:p>
    <w:p w:rsidR="00EA5A22" w:rsidRPr="00AC5C33" w:rsidRDefault="00EA5A22" w:rsidP="00EA5A22">
      <w:pPr>
        <w:numPr>
          <w:ilvl w:val="0"/>
          <w:numId w:val="3"/>
        </w:numPr>
        <w:spacing w:before="120" w:after="120" w:line="320" w:lineRule="exact"/>
        <w:ind w:left="0" w:firstLine="567"/>
        <w:contextualSpacing/>
        <w:jc w:val="both"/>
        <w:rPr>
          <w:rFonts w:eastAsia="Arial"/>
          <w:lang w:val="vi-VN"/>
        </w:rPr>
      </w:pPr>
      <w:r w:rsidRPr="00AC5C33">
        <w:rPr>
          <w:rFonts w:eastAsia="Arial"/>
          <w:lang w:val="vi-VN"/>
        </w:rPr>
        <w:lastRenderedPageBreak/>
        <w:t xml:space="preserve">Yêu cầu về tiêu chuẩn thiết kế, chế tạo, điều kiện về cơ sở thiết kế chế tạo. Trường hợp áp dụng tiêu chuẩn nước ngoài phải ghi rõ tên tiêu chuẩn và tên tổ chức ban hành; </w:t>
      </w:r>
    </w:p>
    <w:p w:rsidR="00EA5A22" w:rsidRPr="00AC5C33" w:rsidRDefault="00EA5A22" w:rsidP="00EA5A22">
      <w:pPr>
        <w:numPr>
          <w:ilvl w:val="0"/>
          <w:numId w:val="3"/>
        </w:numPr>
        <w:spacing w:before="120" w:after="120" w:line="320" w:lineRule="exact"/>
        <w:ind w:left="0" w:firstLine="567"/>
        <w:contextualSpacing/>
        <w:jc w:val="both"/>
        <w:rPr>
          <w:rFonts w:eastAsia="Arial"/>
          <w:lang w:val="vi-VN"/>
        </w:rPr>
      </w:pPr>
      <w:r w:rsidRPr="00AC5C33">
        <w:rPr>
          <w:rFonts w:eastAsia="Arial"/>
          <w:lang w:val="vi-VN"/>
        </w:rPr>
        <w:t xml:space="preserve">Các điều kiện bảo quản về nhiệt độ, áp suất; yêu cầu phòng chống va đập, chống sét, chống tĩnh điện; </w:t>
      </w:r>
    </w:p>
    <w:p w:rsidR="00EA5A22" w:rsidRPr="00AC5C33" w:rsidRDefault="00EA5A22" w:rsidP="00EA5A22">
      <w:pPr>
        <w:widowControl w:val="0"/>
        <w:numPr>
          <w:ilvl w:val="0"/>
          <w:numId w:val="3"/>
        </w:numPr>
        <w:spacing w:before="120" w:after="120" w:line="320" w:lineRule="exact"/>
        <w:ind w:left="0" w:firstLine="567"/>
        <w:contextualSpacing/>
        <w:jc w:val="both"/>
        <w:rPr>
          <w:rFonts w:eastAsia="Arial"/>
          <w:lang w:val="vi-VN"/>
        </w:rPr>
      </w:pPr>
      <w:r w:rsidRPr="00AC5C33">
        <w:rPr>
          <w:rFonts w:eastAsia="Arial"/>
          <w:lang w:val="vi-VN"/>
        </w:rPr>
        <w:t xml:space="preserve">Các phương tiện, hệ thống vận chuyển nội bộ dự kiến sử dụng trong dự án, cơ sở hóa chất.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6. Mô tả điều kiện địa lý, địa hình, đặc điểm khí tượng thuỷ văn khu vực thực hiện dự án, cơ sở hóa chất.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7. Bản danh sách các công trình công nghiệp, quân sự, khu dân cư, hành chính, thương mại, các công trình tôn giáo, các khu vực nhạy cảm về môi trường trong phạm vi 1000 m bao quanh vị trí dự án, cơ sở hóa chất.  </w:t>
      </w:r>
    </w:p>
    <w:p w:rsidR="00EA5A22" w:rsidRPr="00AC5C33" w:rsidRDefault="00EA5A22" w:rsidP="00EA5A22">
      <w:pPr>
        <w:spacing w:before="120" w:line="360" w:lineRule="exact"/>
        <w:jc w:val="center"/>
        <w:rPr>
          <w:rFonts w:eastAsia="Arial"/>
          <w:b/>
          <w:lang w:val="vi-VN"/>
        </w:rPr>
      </w:pPr>
      <w:r w:rsidRPr="00AC5C33">
        <w:rPr>
          <w:rFonts w:eastAsia="Arial"/>
          <w:b/>
          <w:lang w:val="vi-VN"/>
        </w:rPr>
        <w:t>III. Phần thứ hai</w:t>
      </w:r>
    </w:p>
    <w:p w:rsidR="00EA5A22" w:rsidRPr="00AC5C33" w:rsidRDefault="00EA5A22" w:rsidP="00EA5A22">
      <w:pPr>
        <w:spacing w:line="360" w:lineRule="exact"/>
        <w:jc w:val="center"/>
        <w:rPr>
          <w:rFonts w:eastAsia="Arial"/>
          <w:b/>
          <w:lang w:val="vi-VN"/>
        </w:rPr>
      </w:pPr>
      <w:r w:rsidRPr="00AC5C33">
        <w:rPr>
          <w:rFonts w:eastAsia="Arial"/>
          <w:b/>
          <w:lang w:val="vi-VN"/>
        </w:rPr>
        <w:t>DỰ BÁO NGUY CƠ XẢY RA SỰ CỐ VÀ KẾ HOẠCH KIỂM TRA,</w:t>
      </w:r>
    </w:p>
    <w:p w:rsidR="00EA5A22" w:rsidRPr="00AC5C33" w:rsidRDefault="00EA5A22" w:rsidP="00EA5A22">
      <w:pPr>
        <w:spacing w:line="360" w:lineRule="exact"/>
        <w:jc w:val="center"/>
        <w:rPr>
          <w:rFonts w:eastAsia="Arial"/>
          <w:b/>
          <w:lang w:val="vi-VN"/>
        </w:rPr>
      </w:pPr>
      <w:r w:rsidRPr="00AC5C33">
        <w:rPr>
          <w:rFonts w:eastAsia="Arial"/>
          <w:b/>
          <w:lang w:val="vi-VN"/>
        </w:rPr>
        <w:t>GIÁM SÁT CÁC NGUỒN NGUY CƠ SỰ CỐ HÓA CHẤT</w:t>
      </w:r>
    </w:p>
    <w:p w:rsidR="00EA5A22" w:rsidRPr="00AC5C33" w:rsidRDefault="00EA5A22" w:rsidP="00EA5A22">
      <w:pPr>
        <w:widowControl w:val="0"/>
        <w:spacing w:before="120" w:line="360" w:lineRule="exact"/>
        <w:ind w:firstLine="567"/>
        <w:contextualSpacing/>
        <w:jc w:val="both"/>
        <w:rPr>
          <w:rFonts w:eastAsia="Arial"/>
          <w:lang w:val="vi-VN"/>
        </w:rPr>
      </w:pPr>
      <w:r w:rsidRPr="00AC5C33">
        <w:rPr>
          <w:rFonts w:eastAsia="Arial"/>
          <w:lang w:val="vi-VN"/>
        </w:rPr>
        <w:t xml:space="preserve">1. Lập bản danh sách các điểm nguy cơ bao gồm các vị trí đặt các thiết bị sản xuất hoá chất nguy hiểm chủ yếu, các thiết bị hoặc khu vực tập trung lưu trữ hoá chất nguy hiểm kèm theo điều kiện công nghệ sản xuất, bảo quản; số người lao động dự kiến có mặt trong khu vực. Liệt kê các sự cố rò rỉ, tràn đổ hoặc cháy nổ hóa chất nguy hiểm có thể xảy ra tại từng điểm nguy cơ, phân tích nguyên nhân, điều kiện xảy ra sự cố.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2. Xây dựng các giải pháp phòng ngừa sự cố và lập kế hoạch kiểm tra, giám sát các nguồn nguy cơ xảy ra sự cố: Kế hoạch kiểm tra thường xuyên, đột xuất; quy định thành phần kiểm tra, trách nhiệm của người kiểm tra, nội dung kiểm tra, giám sát; quy định lưu giữ hồ sơ kiểm tra. </w:t>
      </w:r>
    </w:p>
    <w:p w:rsidR="00EA5A22" w:rsidRPr="00AC5C33" w:rsidRDefault="00EA5A22" w:rsidP="00EA5A22">
      <w:pPr>
        <w:spacing w:line="360" w:lineRule="exact"/>
        <w:jc w:val="center"/>
        <w:rPr>
          <w:rFonts w:eastAsia="Arial"/>
          <w:b/>
          <w:lang w:val="vi-VN"/>
        </w:rPr>
      </w:pPr>
      <w:r w:rsidRPr="00AC5C33">
        <w:rPr>
          <w:rFonts w:eastAsia="Arial"/>
          <w:b/>
          <w:lang w:val="vi-VN"/>
        </w:rPr>
        <w:t>IV. Phần thứ ba</w:t>
      </w:r>
    </w:p>
    <w:p w:rsidR="00EA5A22" w:rsidRPr="00AC5C33" w:rsidRDefault="00EA5A22" w:rsidP="00EA5A22">
      <w:pPr>
        <w:spacing w:line="360" w:lineRule="exact"/>
        <w:jc w:val="center"/>
        <w:rPr>
          <w:rFonts w:eastAsia="Arial"/>
          <w:b/>
          <w:lang w:val="vi-VN"/>
        </w:rPr>
      </w:pPr>
      <w:r w:rsidRPr="00AC5C33">
        <w:rPr>
          <w:rFonts w:eastAsia="Arial"/>
          <w:b/>
          <w:lang w:val="vi-VN"/>
        </w:rPr>
        <w:t>DỰ BÁO TÌNH HUỐNG XẢY RA SỰ CỐ HÓA CHẤT</w:t>
      </w:r>
    </w:p>
    <w:p w:rsidR="00EA5A22" w:rsidRPr="00AC5C33" w:rsidRDefault="00EA5A22" w:rsidP="00EA5A22">
      <w:pPr>
        <w:spacing w:line="360" w:lineRule="exact"/>
        <w:jc w:val="center"/>
        <w:rPr>
          <w:rFonts w:eastAsia="Arial"/>
          <w:b/>
          <w:lang w:val="vi-VN"/>
        </w:rPr>
      </w:pPr>
      <w:r w:rsidRPr="00AC5C33">
        <w:rPr>
          <w:rFonts w:eastAsia="Arial"/>
          <w:b/>
          <w:lang w:val="vi-VN"/>
        </w:rPr>
        <w:t>VÀ PHƯƠNG ÁN ỨNG PHÓ</w:t>
      </w:r>
    </w:p>
    <w:p w:rsidR="00EA5A22" w:rsidRPr="00AC5C33" w:rsidRDefault="00EA5A22" w:rsidP="00EA5A22">
      <w:pPr>
        <w:widowControl w:val="0"/>
        <w:spacing w:before="120" w:line="360" w:lineRule="exact"/>
        <w:ind w:firstLine="567"/>
        <w:contextualSpacing/>
        <w:jc w:val="both"/>
        <w:rPr>
          <w:rFonts w:eastAsia="Arial"/>
          <w:lang w:val="vi-VN"/>
        </w:rPr>
      </w:pPr>
      <w:r w:rsidRPr="00AC5C33">
        <w:rPr>
          <w:rFonts w:eastAsia="Arial"/>
          <w:lang w:val="vi-VN"/>
        </w:rPr>
        <w:t xml:space="preserve">1. Dự kiến diễn biến tình huống sự cố, ước lượng về hậu quả tiếp theo, phạm vi tác động, mức độ tác động đến người và môi trường xung quanh khi sự cố không được kiểm soát, ngăn chặn. Việc xác định hậu quả phải dựa trên mức độ hoạt động lớn nhất của thiết bị hoặc khu vực lưu trữ hoá chất nguy hiểm.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2. Phương án ứng phó đối với các sự cố đã dự báo. Kế hoạch phối hợp các lực lượng bên trong và bên ngoài ứng phó sự cố. Kế hoạch sơ tán người, tài sản. </w:t>
      </w:r>
    </w:p>
    <w:p w:rsidR="00EA5A22" w:rsidRPr="00AC5C33" w:rsidRDefault="00EA5A22" w:rsidP="00EA5A22">
      <w:pPr>
        <w:spacing w:line="360" w:lineRule="exact"/>
        <w:jc w:val="center"/>
        <w:rPr>
          <w:rFonts w:eastAsia="Arial"/>
          <w:b/>
          <w:lang w:val="vi-VN"/>
        </w:rPr>
      </w:pPr>
      <w:r w:rsidRPr="00AC5C33">
        <w:rPr>
          <w:rFonts w:eastAsia="Arial"/>
          <w:b/>
          <w:lang w:val="vi-VN"/>
        </w:rPr>
        <w:t>V. Phần thứ tư</w:t>
      </w:r>
    </w:p>
    <w:p w:rsidR="00EA5A22" w:rsidRPr="00AC5C33" w:rsidRDefault="00EA5A22" w:rsidP="00EA5A22">
      <w:pPr>
        <w:spacing w:line="360" w:lineRule="exact"/>
        <w:jc w:val="center"/>
        <w:rPr>
          <w:rFonts w:eastAsia="Arial"/>
          <w:b/>
          <w:lang w:val="vi-VN"/>
        </w:rPr>
      </w:pPr>
      <w:r w:rsidRPr="00AC5C33">
        <w:rPr>
          <w:rFonts w:eastAsia="Arial"/>
          <w:b/>
          <w:lang w:val="vi-VN"/>
        </w:rPr>
        <w:t>NĂNG LỰC ỨNG PHÓ SỰ CỐ HÓA CHẤT</w:t>
      </w:r>
    </w:p>
    <w:p w:rsidR="00EA5A22" w:rsidRPr="00AC5C33" w:rsidRDefault="00EA5A22" w:rsidP="00EA5A22">
      <w:pPr>
        <w:widowControl w:val="0"/>
        <w:spacing w:before="120" w:line="360" w:lineRule="exact"/>
        <w:ind w:firstLine="567"/>
        <w:contextualSpacing/>
        <w:jc w:val="both"/>
        <w:rPr>
          <w:rFonts w:eastAsia="Arial"/>
          <w:lang w:val="vi-VN"/>
        </w:rPr>
      </w:pPr>
      <w:r w:rsidRPr="00AC5C33">
        <w:rPr>
          <w:rFonts w:eastAsia="Arial"/>
          <w:lang w:val="vi-VN"/>
        </w:rPr>
        <w:lastRenderedPageBreak/>
        <w:t xml:space="preserve">1. Bản nhân lực ứng phó sự cố hóa chất: Dự kiến về hệ thống tổ chức, điều hành và trực tiếp cứu hộ, xử lý sự cố.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2. Bản liệt kê trang thiết bị, phương tiện sử dụng ứng phó sự cố hoá chất: Tên thiết bị, số lượng, tình trạng thiết bị; hệ thống bảo vệ, hệ thống dự phòng nhằm cứu hộ, ngăn chặn sự cố.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3. Hệ thống báo nguy, hệ thống thông tin nội bộ và thông báo ra bên ngoài trong trường hợp sự cố khẩn cấp. </w:t>
      </w:r>
    </w:p>
    <w:p w:rsidR="00EA5A22" w:rsidRPr="00AC5C33" w:rsidRDefault="00EA5A22" w:rsidP="00EA5A22">
      <w:pPr>
        <w:pStyle w:val="ListParagraph"/>
        <w:numPr>
          <w:ilvl w:val="0"/>
          <w:numId w:val="4"/>
        </w:numPr>
        <w:spacing w:before="0" w:after="0" w:line="360" w:lineRule="exact"/>
        <w:jc w:val="both"/>
        <w:rPr>
          <w:rFonts w:eastAsia="Arial"/>
          <w:lang w:val="vi-VN"/>
        </w:rPr>
      </w:pPr>
      <w:r w:rsidRPr="00AC5C33">
        <w:rPr>
          <w:rFonts w:eastAsia="Arial"/>
          <w:lang w:val="vi-VN"/>
        </w:rPr>
        <w:t xml:space="preserve">Kế hoạch huấn luyện và diễn tập theo định kỳ. </w:t>
      </w:r>
    </w:p>
    <w:p w:rsidR="00EA5A22" w:rsidRPr="00AC5C33" w:rsidRDefault="00EA5A22" w:rsidP="00EA5A22">
      <w:pPr>
        <w:spacing w:line="360" w:lineRule="exact"/>
        <w:jc w:val="center"/>
        <w:rPr>
          <w:rFonts w:eastAsia="Arial"/>
          <w:b/>
          <w:lang w:val="vi-VN"/>
        </w:rPr>
      </w:pPr>
      <w:r w:rsidRPr="00AC5C33">
        <w:rPr>
          <w:rFonts w:eastAsia="Arial"/>
          <w:b/>
          <w:lang w:val="vi-VN"/>
        </w:rPr>
        <w:t>VI. Phần thứ năm</w:t>
      </w:r>
    </w:p>
    <w:p w:rsidR="00EA5A22" w:rsidRPr="00AC5C33" w:rsidRDefault="00EA5A22" w:rsidP="00EA5A22">
      <w:pPr>
        <w:spacing w:line="360" w:lineRule="exact"/>
        <w:jc w:val="center"/>
        <w:rPr>
          <w:rFonts w:eastAsia="Arial"/>
          <w:b/>
          <w:lang w:val="vi-VN"/>
        </w:rPr>
      </w:pPr>
      <w:r w:rsidRPr="00AC5C33">
        <w:rPr>
          <w:rFonts w:eastAsia="Arial"/>
          <w:b/>
          <w:lang w:val="vi-VN"/>
        </w:rPr>
        <w:t>PHƯƠNG ÁN KHẮC PHỤC HẬU QUẢ SỰ CỐ HÓA CHẤT</w:t>
      </w:r>
    </w:p>
    <w:p w:rsidR="00EA5A22" w:rsidRPr="00AC5C33" w:rsidRDefault="00EA5A22" w:rsidP="00EA5A22">
      <w:pPr>
        <w:spacing w:line="360" w:lineRule="exact"/>
        <w:ind w:firstLine="567"/>
        <w:jc w:val="both"/>
        <w:rPr>
          <w:rFonts w:eastAsia="Arial"/>
          <w:lang w:val="vi-VN"/>
        </w:rPr>
      </w:pPr>
      <w:r w:rsidRPr="00AC5C33">
        <w:rPr>
          <w:rFonts w:eastAsia="Arial"/>
          <w:lang w:val="vi-VN"/>
        </w:rPr>
        <w:t xml:space="preserve">Phương án khắc phục hậu quả sự cố hoá chất được lập theo quy định của Luật Bảo vệ môi trường và các quy định khác của pháp luật có liên quan. Nội dung của phương án khắc phục hậu quả sự cố hoá chất bao gồm các vấn đề sau: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1. Biện pháp ngăn chặn, hạn chế nguồn gây ô nhiễm môi trường và hạn chế sự lan rộng, ảnh hưởng đến sức khoẻ và đời sống của nhân dân trong vùng.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2. Biện pháp khắc phục ô nhiễm và phục hồi môi trường theo yêu cầu của cơ quan quản lý nhà nước về môi trường.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3. Bản hướng dẫn chi tiết các biện pháp kỹ thuật thu gom và làm sạch khu vực bị ô nhiễm do sự cố hóa chất. </w:t>
      </w:r>
    </w:p>
    <w:p w:rsidR="00EA5A22" w:rsidRPr="00AC5C33" w:rsidRDefault="00EA5A22" w:rsidP="00EA5A22">
      <w:pPr>
        <w:spacing w:line="360" w:lineRule="exact"/>
        <w:jc w:val="center"/>
        <w:rPr>
          <w:rFonts w:eastAsia="Arial"/>
          <w:b/>
          <w:lang w:val="vi-VN"/>
        </w:rPr>
      </w:pPr>
      <w:r w:rsidRPr="00AC5C33">
        <w:rPr>
          <w:rFonts w:eastAsia="Arial"/>
          <w:b/>
          <w:lang w:val="vi-VN"/>
        </w:rPr>
        <w:t>VII. Phần thứ sáu</w:t>
      </w:r>
    </w:p>
    <w:p w:rsidR="00EA5A22" w:rsidRPr="00AC5C33" w:rsidRDefault="00EA5A22" w:rsidP="00EA5A22">
      <w:pPr>
        <w:spacing w:line="360" w:lineRule="exact"/>
        <w:jc w:val="center"/>
        <w:rPr>
          <w:rFonts w:eastAsia="Arial"/>
          <w:b/>
          <w:lang w:val="vi-VN"/>
        </w:rPr>
      </w:pPr>
      <w:r w:rsidRPr="00AC5C33">
        <w:rPr>
          <w:rFonts w:eastAsia="Arial"/>
          <w:b/>
          <w:lang w:val="vi-VN"/>
        </w:rPr>
        <w:t>KẾT LUẬN</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1. Đánh giá của chủ đầu tư dự án, cơ sở hóa chất về Kế hoạch phòng ngừa, ứng phó sự cố hóa chất. </w:t>
      </w:r>
    </w:p>
    <w:p w:rsidR="00EA5A22" w:rsidRPr="00AC5C33" w:rsidRDefault="00EA5A22" w:rsidP="00EA5A22">
      <w:pPr>
        <w:spacing w:line="360" w:lineRule="exact"/>
        <w:ind w:firstLine="567"/>
        <w:jc w:val="both"/>
        <w:rPr>
          <w:rFonts w:eastAsia="Arial"/>
          <w:lang w:val="vi-VN"/>
        </w:rPr>
      </w:pPr>
      <w:r w:rsidRPr="00AC5C33">
        <w:rPr>
          <w:rFonts w:eastAsia="Arial"/>
          <w:lang w:val="vi-VN"/>
        </w:rPr>
        <w:t xml:space="preserve">2. Cam kết của chủ đầu tư dự án, cơ sở hóa chất.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3. Những kiến nghị của chủ đầu tư dự án, cơ sở hóa chất. </w:t>
      </w:r>
    </w:p>
    <w:p w:rsidR="00EA5A22" w:rsidRPr="00AC5C33" w:rsidRDefault="00EA5A22" w:rsidP="00EA5A22">
      <w:pPr>
        <w:spacing w:line="360" w:lineRule="exact"/>
        <w:ind w:firstLine="567"/>
        <w:jc w:val="both"/>
        <w:rPr>
          <w:rFonts w:eastAsia="Arial"/>
          <w:i/>
          <w:lang w:val="vi-VN"/>
        </w:rPr>
      </w:pPr>
      <w:r w:rsidRPr="00AC5C33">
        <w:rPr>
          <w:rFonts w:eastAsia="Arial"/>
          <w:i/>
          <w:lang w:val="vi-VN"/>
        </w:rPr>
        <w:t xml:space="preserve">(Kiến nghị về những nội dung nằm ngoài thẩm quyền của chủ đầu tư dự án, cơ sở hóa chất để đảm bảo an toàn trong quá trình vận hành dự án, cơ sở hóa chất). </w:t>
      </w:r>
    </w:p>
    <w:p w:rsidR="00EA5A22" w:rsidRPr="00AC5C33" w:rsidRDefault="00EA5A22" w:rsidP="00EA5A22">
      <w:pPr>
        <w:spacing w:line="360" w:lineRule="exact"/>
        <w:ind w:firstLine="567"/>
        <w:jc w:val="center"/>
        <w:rPr>
          <w:rFonts w:eastAsia="Arial"/>
          <w:b/>
          <w:lang w:val="vi-VN"/>
        </w:rPr>
      </w:pPr>
      <w:r w:rsidRPr="00AC5C33">
        <w:rPr>
          <w:rFonts w:eastAsia="Arial"/>
          <w:b/>
          <w:lang w:val="vi-VN"/>
        </w:rPr>
        <w:t>Phụ lục</w:t>
      </w:r>
    </w:p>
    <w:p w:rsidR="00EA5A22" w:rsidRPr="00AC5C33" w:rsidRDefault="00EA5A22" w:rsidP="00EA5A22">
      <w:pPr>
        <w:spacing w:line="360" w:lineRule="exact"/>
        <w:jc w:val="center"/>
        <w:rPr>
          <w:rFonts w:eastAsia="Arial"/>
          <w:b/>
          <w:lang w:val="vi-VN"/>
        </w:rPr>
      </w:pPr>
      <w:r w:rsidRPr="00AC5C33">
        <w:rPr>
          <w:rFonts w:eastAsia="Arial"/>
          <w:b/>
          <w:lang w:val="vi-VN"/>
        </w:rPr>
        <w:t>CÁC TÀI LIỆU KÈM THEO</w:t>
      </w:r>
    </w:p>
    <w:p w:rsidR="00EA5A22" w:rsidRPr="00AC5C33" w:rsidRDefault="00EA5A22" w:rsidP="00EA5A22">
      <w:pPr>
        <w:spacing w:line="360" w:lineRule="exact"/>
        <w:ind w:left="567"/>
        <w:contextualSpacing/>
        <w:jc w:val="both"/>
        <w:rPr>
          <w:rFonts w:eastAsia="Arial"/>
          <w:lang w:val="vi-VN"/>
        </w:rPr>
      </w:pPr>
      <w:r w:rsidRPr="00AC5C33">
        <w:rPr>
          <w:rFonts w:eastAsia="Arial"/>
          <w:lang w:val="vi-VN"/>
        </w:rPr>
        <w:t xml:space="preserve">1. Bản đồ vị trí khu đất đặt dự án, cơ sở hóa chất.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2. Bản đồ mô tả các vị trí lưu trữ, bảo quản hoá chất dự kiến trong mặt bằng dự án, cơ sở sản xuất và trạng thái bảo quản (ngầm, nửa ngầm, trên mặt đất).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lastRenderedPageBreak/>
        <w:t xml:space="preserve">3. Sơ đồ mặt bằng bố trí thiết bị và sơ đồ dây chuyền công nghệ, khối lượng hoá chất nguy hiểm tại các thiết bị sản xuất chính, thiết bị chứa trung gian. </w:t>
      </w:r>
    </w:p>
    <w:p w:rsidR="00EA5A22" w:rsidRPr="00AC5C33" w:rsidRDefault="00EA5A22" w:rsidP="00EA5A22">
      <w:pPr>
        <w:spacing w:line="360" w:lineRule="exact"/>
        <w:jc w:val="center"/>
        <w:rPr>
          <w:rFonts w:eastAsia="Arial"/>
          <w:b/>
          <w:lang w:val="vi-VN"/>
        </w:rPr>
      </w:pPr>
      <w:r w:rsidRPr="00AC5C33">
        <w:rPr>
          <w:rFonts w:eastAsia="Arial"/>
          <w:b/>
          <w:lang w:val="vi-VN"/>
        </w:rPr>
        <w:t>TÀI LIỆU THAM KHẢO</w:t>
      </w:r>
    </w:p>
    <w:p w:rsidR="00EA5A22" w:rsidRPr="00AC5C33" w:rsidRDefault="00EA5A22" w:rsidP="00EA5A22">
      <w:pPr>
        <w:spacing w:line="360" w:lineRule="exact"/>
        <w:ind w:firstLine="567"/>
        <w:jc w:val="both"/>
        <w:rPr>
          <w:rFonts w:eastAsia="Arial"/>
          <w:b/>
          <w:lang w:val="pt-BR"/>
        </w:rPr>
      </w:pPr>
      <w:r w:rsidRPr="00AC5C33">
        <w:rPr>
          <w:rFonts w:eastAsia="Arial"/>
          <w:lang w:val="vi-VN"/>
        </w:rPr>
        <w:t xml:space="preserve">Tài liệu tham khảo (nếu có): Bao gồm tên tài liệu tham khảo, tên tác giả, năm xuất bản, nhà xuất bản./. </w:t>
      </w:r>
    </w:p>
    <w:p w:rsidR="005279F7" w:rsidRDefault="005279F7"/>
    <w:sectPr w:rsidR="005279F7" w:rsidSect="00EA5A22">
      <w:pgSz w:w="11907" w:h="16840" w:code="9"/>
      <w:pgMar w:top="1134" w:right="1134" w:bottom="1134" w:left="1418" w:header="720"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65A8D"/>
    <w:multiLevelType w:val="hybridMultilevel"/>
    <w:tmpl w:val="CD3878C6"/>
    <w:lvl w:ilvl="0" w:tplc="4ACE4CC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A521124"/>
    <w:multiLevelType w:val="hybridMultilevel"/>
    <w:tmpl w:val="733088B8"/>
    <w:lvl w:ilvl="0" w:tplc="847279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B1C7D5F"/>
    <w:multiLevelType w:val="hybridMultilevel"/>
    <w:tmpl w:val="2848D922"/>
    <w:lvl w:ilvl="0" w:tplc="9EA483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10"/>
  <w:displayHorizontalDrawingGridEvery w:val="2"/>
  <w:displayVerticalDrawingGridEvery w:val="2"/>
  <w:characterSpacingControl w:val="doNotCompress"/>
  <w:compat/>
  <w:rsids>
    <w:rsidRoot w:val="00EA5A22"/>
    <w:rsid w:val="001B107A"/>
    <w:rsid w:val="002262E6"/>
    <w:rsid w:val="002B36DC"/>
    <w:rsid w:val="005279F7"/>
    <w:rsid w:val="00662258"/>
    <w:rsid w:val="00A56552"/>
    <w:rsid w:val="00A77396"/>
    <w:rsid w:val="00A95103"/>
    <w:rsid w:val="00BF718F"/>
    <w:rsid w:val="00CA3E22"/>
    <w:rsid w:val="00D76DA6"/>
    <w:rsid w:val="00EA5A22"/>
    <w:rsid w:val="00F8119B"/>
    <w:rsid w:val="00FD1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A5A22"/>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34"/>
    <w:qFormat/>
    <w:rsid w:val="00EA5A22"/>
    <w:pPr>
      <w:spacing w:before="20" w:after="20" w:line="240" w:lineRule="auto"/>
      <w:ind w:left="720"/>
      <w:contextualSpacing/>
    </w:pPr>
    <w:rPr>
      <w:rFonts w:eastAsia="Batang"/>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F13BF-EEBE-4826-8695-3E0018441EA1}"/>
</file>

<file path=customXml/itemProps2.xml><?xml version="1.0" encoding="utf-8"?>
<ds:datastoreItem xmlns:ds="http://schemas.openxmlformats.org/officeDocument/2006/customXml" ds:itemID="{1871E1BD-96CF-4B9D-97F0-74FC0EB25579}"/>
</file>

<file path=customXml/itemProps3.xml><?xml version="1.0" encoding="utf-8"?>
<ds:datastoreItem xmlns:ds="http://schemas.openxmlformats.org/officeDocument/2006/customXml" ds:itemID="{44160A6D-7482-402D-98E5-48D1F2944D43}"/>
</file>

<file path=docProps/app.xml><?xml version="1.0" encoding="utf-8"?>
<Properties xmlns="http://schemas.openxmlformats.org/officeDocument/2006/extended-properties" xmlns:vt="http://schemas.openxmlformats.org/officeDocument/2006/docPropsVTypes">
  <Template>Normal.dotm</Template>
  <TotalTime>2</TotalTime>
  <Pages>4</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cp:revision>
  <dcterms:created xsi:type="dcterms:W3CDTF">2017-01-04T01:38:00Z</dcterms:created>
  <dcterms:modified xsi:type="dcterms:W3CDTF">2017-01-04T01:39:00Z</dcterms:modified>
</cp:coreProperties>
</file>